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Программный API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граммный-api-papi"/>
    <w:p>
      <w:pPr>
        <w:pStyle w:val="Heading1"/>
      </w:pPr>
      <w:r>
        <w:t xml:space="preserve">Программный API PAPI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PAPI</w:t>
      </w:r>
      <w:r>
        <w:t xml:space="preserve"> </w:t>
      </w:r>
      <w:r>
        <w:t xml:space="preserve">предоставляет старый HTTP API для внешних клиентов, которым нужен прямой доступ к операциям чтения, поиска, форматирования и записи записей базы ИРБИС 128.</w:t>
      </w:r>
    </w:p>
    <w:bookmarkStart w:id="9" w:name="назначение-papi"/>
    <w:p>
      <w:pPr>
        <w:pStyle w:val="Heading2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Программный API PAPI</dc:title>
  <dc:creator/>
  <cp:keywords/>
  <dcterms:created xsi:type="dcterms:W3CDTF">2026-09-01T22:04:56Z</dcterms:created>
  <dcterms:modified xsi:type="dcterms:W3CDTF">2026-09-01T22:04:56Z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